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B6B38" w14:textId="77777777" w:rsidR="00EF0A9A" w:rsidRDefault="00EF0A9A" w:rsidP="00EF0A9A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59264" behindDoc="1" locked="0" layoutInCell="0" allowOverlap="0" wp14:anchorId="556B32FC" wp14:editId="0C8FD9A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752475" cy="752475"/>
            <wp:effectExtent l="19050" t="0" r="9525" b="0"/>
            <wp:wrapTight wrapText="bothSides">
              <wp:wrapPolygon edited="0">
                <wp:start x="-547" y="0"/>
                <wp:lineTo x="-547" y="21327"/>
                <wp:lineTo x="21873" y="21327"/>
                <wp:lineTo x="21873" y="0"/>
                <wp:lineTo x="-547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1CFD7D" w14:textId="77777777" w:rsidR="00EF0A9A" w:rsidRDefault="00EF0A9A" w:rsidP="00EF0A9A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b/>
          <w:sz w:val="28"/>
        </w:rPr>
        <w:t xml:space="preserve">TRIVIS – </w:t>
      </w:r>
      <w:r>
        <w:rPr>
          <w:b/>
          <w:sz w:val="22"/>
        </w:rPr>
        <w:t xml:space="preserve">Střední škola veřejnoprávní Třebechovice pod Orebem, s.r.o. </w:t>
      </w:r>
    </w:p>
    <w:p w14:paraId="12357C74" w14:textId="77777777" w:rsidR="00EF0A9A" w:rsidRDefault="00EF0A9A" w:rsidP="00EF0A9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2"/>
        </w:rPr>
        <w:t>Heldovo náměstí 231 , 503 46 Třebechovice pod Orebem</w:t>
      </w:r>
    </w:p>
    <w:p w14:paraId="28F43207" w14:textId="77777777" w:rsidR="00EF0A9A" w:rsidRDefault="00EF0A9A" w:rsidP="00EF0A9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OR vedený Krajským soudem v Hradci Králové oddíl c vložka 21588  </w:t>
      </w:r>
    </w:p>
    <w:p w14:paraId="3B2FFFC0" w14:textId="77777777" w:rsidR="00EF0A9A" w:rsidRDefault="00EF0A9A" w:rsidP="00EF0A9A">
      <w:pPr>
        <w:pBdr>
          <w:bottom w:val="single" w:sz="4" w:space="1" w:color="auto"/>
        </w:pBdr>
        <w:jc w:val="center"/>
        <w:rPr>
          <w:b/>
          <w:sz w:val="20"/>
        </w:rPr>
      </w:pPr>
      <w:r>
        <w:rPr>
          <w:b/>
          <w:sz w:val="20"/>
        </w:rPr>
        <w:t xml:space="preserve">                     Tel.: 495 593 074       E-mail: trebechovice@trivis.cz         IČO 274 82 073</w:t>
      </w:r>
    </w:p>
    <w:p w14:paraId="3B732DFC" w14:textId="77777777" w:rsidR="00EF0A9A" w:rsidRDefault="00EF0A9A" w:rsidP="00EF0A9A"/>
    <w:p w14:paraId="4CB7F017" w14:textId="77777777" w:rsidR="00EF0A9A" w:rsidRDefault="00EF0A9A" w:rsidP="00EF0A9A">
      <w:pPr>
        <w:rPr>
          <w:b/>
        </w:rPr>
      </w:pPr>
    </w:p>
    <w:p w14:paraId="47829080" w14:textId="721C318E" w:rsidR="00EF0A9A" w:rsidRPr="00072E8A" w:rsidRDefault="00EF0A9A" w:rsidP="00EF0A9A">
      <w:pPr>
        <w:jc w:val="center"/>
        <w:rPr>
          <w:b/>
        </w:rPr>
      </w:pPr>
      <w:r>
        <w:rPr>
          <w:b/>
        </w:rPr>
        <w:t>M</w:t>
      </w:r>
      <w:r w:rsidRPr="00072E8A">
        <w:rPr>
          <w:b/>
        </w:rPr>
        <w:t xml:space="preserve">ATURITNÍ ZKOUŠKA – </w:t>
      </w:r>
      <w:r>
        <w:rPr>
          <w:b/>
        </w:rPr>
        <w:t>šk. rok 2021/</w:t>
      </w:r>
      <w:r w:rsidRPr="00072E8A">
        <w:rPr>
          <w:b/>
        </w:rPr>
        <w:t xml:space="preserve"> 202</w:t>
      </w:r>
      <w:r>
        <w:rPr>
          <w:b/>
        </w:rPr>
        <w:t>2</w:t>
      </w:r>
    </w:p>
    <w:p w14:paraId="76EE58C9" w14:textId="77777777" w:rsidR="00EF0A9A" w:rsidRDefault="00EF0A9A" w:rsidP="00EF0A9A">
      <w:pPr>
        <w:jc w:val="center"/>
      </w:pPr>
    </w:p>
    <w:p w14:paraId="30D11281" w14:textId="7E9586A2" w:rsidR="00EF0A9A" w:rsidRPr="00EF0A9A" w:rsidRDefault="00EF0A9A" w:rsidP="00EF0A9A">
      <w:pPr>
        <w:jc w:val="center"/>
        <w:rPr>
          <w:b/>
          <w:sz w:val="28"/>
          <w:szCs w:val="28"/>
        </w:rPr>
      </w:pPr>
      <w:r w:rsidRPr="00EF0A9A">
        <w:rPr>
          <w:b/>
          <w:sz w:val="28"/>
          <w:szCs w:val="28"/>
        </w:rPr>
        <w:t>Český jazyk a literatura</w:t>
      </w:r>
    </w:p>
    <w:p w14:paraId="5FBF9F86" w14:textId="32E2B4A3" w:rsidR="00EF0A9A" w:rsidRDefault="00EF0A9A" w:rsidP="00EF0A9A">
      <w:pPr>
        <w:rPr>
          <w:b/>
        </w:rPr>
      </w:pPr>
    </w:p>
    <w:p w14:paraId="3E3894CD" w14:textId="4CBA65A4" w:rsidR="005E620E" w:rsidRPr="00882C48" w:rsidRDefault="005E620E" w:rsidP="00EF0A9A">
      <w:pPr>
        <w:rPr>
          <w:b/>
        </w:rPr>
      </w:pPr>
      <w:r>
        <w:rPr>
          <w:b/>
        </w:rPr>
        <w:t>SPOLEČNÁ ČÁST MATURITNÍ ZKOUŠKY</w:t>
      </w:r>
    </w:p>
    <w:p w14:paraId="7195E0CF" w14:textId="402A7342" w:rsidR="002F26F0" w:rsidRDefault="00EF0A9A" w:rsidP="00EF0A9A">
      <w:pPr>
        <w:jc w:val="both"/>
      </w:pPr>
      <w:r w:rsidRPr="00882C48">
        <w:rPr>
          <w:b/>
        </w:rPr>
        <w:t>Didaktický test</w:t>
      </w:r>
      <w:r>
        <w:t xml:space="preserve"> ze zkušebního předmětu český jazyk a literatura</w:t>
      </w:r>
      <w:r w:rsidR="002F26F0">
        <w:t>.</w:t>
      </w:r>
    </w:p>
    <w:p w14:paraId="5557CE84" w14:textId="1846DCEB" w:rsidR="00EF0A9A" w:rsidRDefault="00EF0A9A" w:rsidP="00EF0A9A">
      <w:pPr>
        <w:jc w:val="both"/>
      </w:pPr>
      <w:r>
        <w:t xml:space="preserve"> </w:t>
      </w:r>
    </w:p>
    <w:p w14:paraId="7FAE64E2" w14:textId="35FE98BC" w:rsidR="005E620E" w:rsidRDefault="005E620E" w:rsidP="00EF0A9A">
      <w:pPr>
        <w:rPr>
          <w:b/>
        </w:rPr>
      </w:pPr>
      <w:r>
        <w:rPr>
          <w:b/>
        </w:rPr>
        <w:t xml:space="preserve">PROFILOVÁ ČÁST MATURITNÍ ZKOUŠKY </w:t>
      </w:r>
    </w:p>
    <w:p w14:paraId="7075D862" w14:textId="6F8941CE" w:rsidR="009E2E02" w:rsidRPr="00EF0A9A" w:rsidRDefault="008A03D6" w:rsidP="00EF0A9A">
      <w:pPr>
        <w:rPr>
          <w:rFonts w:cs="Calibri"/>
          <w:b/>
        </w:rPr>
      </w:pPr>
      <w:r w:rsidRPr="00EF0A9A">
        <w:rPr>
          <w:rFonts w:cs="Calibri"/>
          <w:b/>
        </w:rPr>
        <w:t xml:space="preserve">Kritéria hodnocení profilové zkoušky </w:t>
      </w:r>
    </w:p>
    <w:p w14:paraId="73FB2986" w14:textId="77777777" w:rsidR="009E2E02" w:rsidRDefault="009E2E02" w:rsidP="000C7125">
      <w:pPr>
        <w:rPr>
          <w:shd w:val="clear" w:color="auto" w:fill="FFFFFF"/>
        </w:rPr>
      </w:pPr>
    </w:p>
    <w:p w14:paraId="0574F8B0" w14:textId="77777777" w:rsidR="009E2E02" w:rsidRPr="008A03D6" w:rsidRDefault="00220FC7" w:rsidP="008A03D6">
      <w:pPr>
        <w:pStyle w:val="Odstavecseseznamem"/>
        <w:numPr>
          <w:ilvl w:val="0"/>
          <w:numId w:val="5"/>
        </w:numPr>
        <w:spacing w:after="120"/>
        <w:ind w:left="284" w:hanging="284"/>
        <w:rPr>
          <w:b/>
          <w:shd w:val="clear" w:color="auto" w:fill="FFFFFF"/>
        </w:rPr>
      </w:pPr>
      <w:r w:rsidRPr="008A03D6">
        <w:rPr>
          <w:b/>
          <w:u w:val="single"/>
          <w:shd w:val="clear" w:color="auto" w:fill="FFFFFF"/>
        </w:rPr>
        <w:t>Písemná prá</w:t>
      </w:r>
      <w:r w:rsidR="008A03D6" w:rsidRPr="008A03D6">
        <w:rPr>
          <w:b/>
          <w:u w:val="single"/>
          <w:shd w:val="clear" w:color="auto" w:fill="FFFFFF"/>
        </w:rPr>
        <w:t>ce</w:t>
      </w:r>
      <w:r w:rsidR="008A03D6" w:rsidRPr="008A03D6">
        <w:rPr>
          <w:b/>
          <w:shd w:val="clear" w:color="auto" w:fill="FFFFFF"/>
        </w:rPr>
        <w:t>:</w:t>
      </w:r>
    </w:p>
    <w:p w14:paraId="737526EA" w14:textId="77777777" w:rsidR="009E2E02" w:rsidRPr="008A03D6" w:rsidRDefault="00220FC7" w:rsidP="008A03D6">
      <w:pPr>
        <w:numPr>
          <w:ilvl w:val="0"/>
          <w:numId w:val="1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Písemnou prací z českého jazyka a literatury se ro</w:t>
      </w:r>
      <w:r w:rsidR="008A03D6">
        <w:rPr>
          <w:shd w:val="clear" w:color="auto" w:fill="FFFFFF"/>
        </w:rPr>
        <w:t xml:space="preserve">zumí vytvoření souvislého textu </w:t>
      </w:r>
      <w:r>
        <w:rPr>
          <w:shd w:val="clear" w:color="auto" w:fill="FFFFFF"/>
        </w:rPr>
        <w:t>odpovídajícího slohové práci, jehož minimální rozsah je 250 slov;</w:t>
      </w:r>
      <w:r w:rsidR="008A03D6">
        <w:rPr>
          <w:shd w:val="clear" w:color="auto" w:fill="FFFFFF"/>
        </w:rPr>
        <w:t xml:space="preserve"> </w:t>
      </w:r>
      <w:r w:rsidRPr="00EC256D">
        <w:rPr>
          <w:b/>
          <w:shd w:val="clear" w:color="auto" w:fill="FFFFFF"/>
        </w:rPr>
        <w:t xml:space="preserve">písemná práce trvá </w:t>
      </w:r>
      <w:r w:rsidR="00D86BA8" w:rsidRPr="00EC256D">
        <w:rPr>
          <w:b/>
          <w:shd w:val="clear" w:color="auto" w:fill="FFFFFF"/>
        </w:rPr>
        <w:br/>
      </w:r>
      <w:r w:rsidRPr="00EC256D">
        <w:rPr>
          <w:b/>
          <w:shd w:val="clear" w:color="auto" w:fill="FFFFFF"/>
        </w:rPr>
        <w:t>120 minut (včetně času na volbu zadání)</w:t>
      </w:r>
      <w:r w:rsidR="000C7125">
        <w:rPr>
          <w:shd w:val="clear" w:color="auto" w:fill="FFFFFF"/>
        </w:rPr>
        <w:t>.</w:t>
      </w:r>
    </w:p>
    <w:p w14:paraId="7062DAF0" w14:textId="77777777" w:rsidR="009E2E02" w:rsidRDefault="00220FC7" w:rsidP="008A03D6">
      <w:pPr>
        <w:numPr>
          <w:ilvl w:val="0"/>
          <w:numId w:val="1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Při konání písemné práce má žák možnost použít Pravidla českého pravopisu</w:t>
      </w:r>
      <w:r w:rsidR="000C7125">
        <w:rPr>
          <w:shd w:val="clear" w:color="auto" w:fill="FFFFFF"/>
        </w:rPr>
        <w:t>.</w:t>
      </w:r>
    </w:p>
    <w:p w14:paraId="1B7613D0" w14:textId="77777777" w:rsidR="009E2E02" w:rsidRDefault="00220FC7" w:rsidP="008A03D6">
      <w:pPr>
        <w:numPr>
          <w:ilvl w:val="0"/>
          <w:numId w:val="1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Žák vybírá nejméně ze 4 zadání, která se žákům zpřístupní bezprostředně před zahájením zkoušky. Po zahájení zkoušky si žák zvolí 1 zadání. Zadání písemné práce obsahuje téma a požadovaný slohový útvar, popřípadě výchozí text, jehož součástí může být i obrázek, graf</w:t>
      </w:r>
      <w:r w:rsidR="000C7125">
        <w:rPr>
          <w:shd w:val="clear" w:color="auto" w:fill="FFFFFF"/>
        </w:rPr>
        <w:t>.</w:t>
      </w:r>
    </w:p>
    <w:p w14:paraId="1BE2D853" w14:textId="77777777" w:rsidR="009E2E02" w:rsidRDefault="009E2E02">
      <w:pPr>
        <w:rPr>
          <w:shd w:val="clear" w:color="auto" w:fill="FFFFFF"/>
        </w:rPr>
      </w:pPr>
    </w:p>
    <w:p w14:paraId="68919FBF" w14:textId="77777777" w:rsidR="008A03D6" w:rsidRPr="008A03D6" w:rsidRDefault="00220FC7" w:rsidP="008A03D6">
      <w:pPr>
        <w:spacing w:after="120"/>
        <w:rPr>
          <w:b/>
          <w:shd w:val="clear" w:color="auto" w:fill="FFFFFF"/>
        </w:rPr>
      </w:pPr>
      <w:r w:rsidRPr="008A03D6">
        <w:rPr>
          <w:b/>
          <w:shd w:val="clear" w:color="auto" w:fill="FFFFFF"/>
        </w:rPr>
        <w:t>Kritéria hodnocení písemné práce</w:t>
      </w:r>
      <w:r w:rsidR="008A03D6" w:rsidRPr="008A03D6">
        <w:rPr>
          <w:b/>
          <w:shd w:val="clear" w:color="auto" w:fill="FFFFFF"/>
        </w:rPr>
        <w:t>:</w:t>
      </w:r>
    </w:p>
    <w:p w14:paraId="35AA5A0C" w14:textId="77777777" w:rsidR="009E2E02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Rozsah práce (minimálně 250 slov souvislého textu)</w:t>
      </w:r>
      <w:r w:rsidR="000C7125">
        <w:rPr>
          <w:shd w:val="clear" w:color="auto" w:fill="FFFFFF"/>
        </w:rPr>
        <w:t>.</w:t>
      </w:r>
    </w:p>
    <w:p w14:paraId="634D5B45" w14:textId="77777777" w:rsidR="009E2E02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Dodržení tématu, slohového útvaru, komunikační situace</w:t>
      </w:r>
      <w:r w:rsidR="000C7125">
        <w:rPr>
          <w:shd w:val="clear" w:color="auto" w:fill="FFFFFF"/>
        </w:rPr>
        <w:t>.</w:t>
      </w:r>
    </w:p>
    <w:p w14:paraId="29B348E6" w14:textId="77777777" w:rsidR="009E2E02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Funkční užití jazykových prostředků</w:t>
      </w:r>
      <w:r w:rsidR="000C7125">
        <w:rPr>
          <w:shd w:val="clear" w:color="auto" w:fill="FFFFFF"/>
        </w:rPr>
        <w:t>.</w:t>
      </w:r>
    </w:p>
    <w:p w14:paraId="5E00696F" w14:textId="77777777" w:rsidR="009E2E02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Pravopisná složka</w:t>
      </w:r>
      <w:r w:rsidR="000C7125">
        <w:rPr>
          <w:shd w:val="clear" w:color="auto" w:fill="FFFFFF"/>
        </w:rPr>
        <w:t>.</w:t>
      </w:r>
    </w:p>
    <w:p w14:paraId="50D9A4E9" w14:textId="77777777" w:rsidR="008A03D6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Kompoziční výstavba textu</w:t>
      </w:r>
      <w:r w:rsidR="000C7125">
        <w:rPr>
          <w:shd w:val="clear" w:color="auto" w:fill="FFFFFF"/>
        </w:rPr>
        <w:t>.</w:t>
      </w:r>
    </w:p>
    <w:p w14:paraId="48985377" w14:textId="77777777" w:rsidR="008A03D6" w:rsidRDefault="008A03D6" w:rsidP="000C7125">
      <w:pPr>
        <w:ind w:left="851"/>
        <w:jc w:val="both"/>
        <w:rPr>
          <w:shd w:val="clear" w:color="auto" w:fill="FFFFFF"/>
        </w:rPr>
      </w:pPr>
    </w:p>
    <w:p w14:paraId="16C6C763" w14:textId="0F1ECCC7" w:rsidR="009E2E02" w:rsidRDefault="00220FC7" w:rsidP="000C7125">
      <w:pPr>
        <w:numPr>
          <w:ilvl w:val="0"/>
          <w:numId w:val="2"/>
        </w:numPr>
        <w:tabs>
          <w:tab w:val="clear" w:pos="2138"/>
          <w:tab w:val="num" w:pos="851"/>
        </w:tabs>
        <w:ind w:left="851" w:hanging="284"/>
        <w:jc w:val="both"/>
        <w:rPr>
          <w:shd w:val="clear" w:color="auto" w:fill="FFFFFF"/>
        </w:rPr>
      </w:pPr>
      <w:r w:rsidRPr="008A03D6">
        <w:rPr>
          <w:shd w:val="clear" w:color="auto" w:fill="FFFFFF"/>
        </w:rPr>
        <w:t>Výsledným ohodnocením písemné práce bude jedna celková známka</w:t>
      </w:r>
      <w:r w:rsidR="000C7125">
        <w:rPr>
          <w:shd w:val="clear" w:color="auto" w:fill="FFFFFF"/>
        </w:rPr>
        <w:t>.</w:t>
      </w:r>
      <w:r w:rsidRPr="008A03D6">
        <w:rPr>
          <w:shd w:val="clear" w:color="auto" w:fill="FFFFFF"/>
        </w:rPr>
        <w:t xml:space="preserve"> </w:t>
      </w:r>
      <w:r w:rsidR="008878BE">
        <w:rPr>
          <w:shd w:val="clear" w:color="auto" w:fill="FFFFFF"/>
        </w:rPr>
        <w:t xml:space="preserve"> </w:t>
      </w:r>
    </w:p>
    <w:p w14:paraId="17252B43" w14:textId="77777777" w:rsidR="008878BE" w:rsidRDefault="008878BE" w:rsidP="008878BE">
      <w:pPr>
        <w:pStyle w:val="Odstavecseseznamem"/>
        <w:rPr>
          <w:shd w:val="clear" w:color="auto" w:fill="FFFFFF"/>
        </w:rPr>
      </w:pPr>
    </w:p>
    <w:p w14:paraId="7258A4AC" w14:textId="77777777" w:rsidR="008878BE" w:rsidRDefault="008878BE" w:rsidP="008878BE">
      <w:pPr>
        <w:rPr>
          <w:rFonts w:eastAsia="Times New Roman" w:cs="Calibri"/>
          <w:b/>
          <w:bCs/>
          <w:kern w:val="0"/>
          <w:lang w:eastAsia="cs-CZ" w:bidi="ar-SA"/>
        </w:rPr>
      </w:pPr>
      <w:r>
        <w:rPr>
          <w:rFonts w:cs="Calibri"/>
          <w:b/>
          <w:bCs/>
        </w:rPr>
        <w:t>Hodnocení písemné práce se provádí klasifikačními stupni:</w:t>
      </w:r>
    </w:p>
    <w:p w14:paraId="4DB2463B" w14:textId="77777777" w:rsidR="008878BE" w:rsidRDefault="008878BE" w:rsidP="00A33A9F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Výborný</w:t>
      </w:r>
    </w:p>
    <w:p w14:paraId="4B3D2711" w14:textId="77777777" w:rsidR="008878BE" w:rsidRDefault="008878BE" w:rsidP="00A33A9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plně odpovídá zadanému tématu a zároveň je téma zpracováno plně funkčně.</w:t>
      </w:r>
    </w:p>
    <w:p w14:paraId="041084A8" w14:textId="77777777" w:rsidR="008878BE" w:rsidRDefault="008878BE" w:rsidP="00A33A9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téměř nevyskytují.</w:t>
      </w:r>
    </w:p>
    <w:p w14:paraId="08BDCD78" w14:textId="77777777" w:rsidR="008878BE" w:rsidRDefault="008878BE" w:rsidP="00A33A9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motivovaná a bohatá, odpovídá komunikační situaci.</w:t>
      </w:r>
    </w:p>
    <w:p w14:paraId="74801D0D" w14:textId="77777777" w:rsidR="008878BE" w:rsidRDefault="008878BE" w:rsidP="00A33A9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promyšlená.</w:t>
      </w:r>
    </w:p>
    <w:p w14:paraId="71E77F38" w14:textId="77777777" w:rsidR="008878BE" w:rsidRDefault="008878BE" w:rsidP="00A33A9F">
      <w:pPr>
        <w:widowControl/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textu je precizní.</w:t>
      </w:r>
    </w:p>
    <w:p w14:paraId="59087F27" w14:textId="77777777" w:rsidR="008878BE" w:rsidRDefault="008878BE" w:rsidP="00A33A9F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Chvalitebný</w:t>
      </w:r>
    </w:p>
    <w:p w14:paraId="3602E617" w14:textId="77777777" w:rsidR="008878BE" w:rsidRDefault="008878BE" w:rsidP="00A33A9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odpovídá zadanému tématu a zároveň je téma zpracováno funkčně.</w:t>
      </w:r>
    </w:p>
    <w:p w14:paraId="2841E1EA" w14:textId="77777777" w:rsidR="008878BE" w:rsidRDefault="008878BE" w:rsidP="00A33A9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objevují jen ojediněle.</w:t>
      </w:r>
    </w:p>
    <w:p w14:paraId="02849485" w14:textId="77777777" w:rsidR="008878BE" w:rsidRDefault="008878BE" w:rsidP="00A33A9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spíše bohatá – je funkční a srozumitelná.</w:t>
      </w:r>
    </w:p>
    <w:p w14:paraId="334262DF" w14:textId="77777777" w:rsidR="008878BE" w:rsidRDefault="008878BE" w:rsidP="00A33A9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promyšlená a funkční.</w:t>
      </w:r>
    </w:p>
    <w:p w14:paraId="14D7D378" w14:textId="77777777" w:rsidR="008878BE" w:rsidRDefault="008878BE" w:rsidP="00A33A9F">
      <w:pPr>
        <w:widowControl/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lastRenderedPageBreak/>
        <w:t>Celková kompozice textu je promyšlená, vyvážená a srozumitelná.</w:t>
      </w:r>
    </w:p>
    <w:p w14:paraId="36D84D87" w14:textId="77777777" w:rsidR="008878BE" w:rsidRDefault="008878BE" w:rsidP="00A33A9F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Dobrý</w:t>
      </w:r>
    </w:p>
    <w:p w14:paraId="232310F5" w14:textId="77777777" w:rsidR="008878BE" w:rsidRDefault="008878BE" w:rsidP="00A33A9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v zásadě odpovídá útvaru a zadanému tématu.</w:t>
      </w:r>
    </w:p>
    <w:p w14:paraId="134E4379" w14:textId="77777777" w:rsidR="008878BE" w:rsidRDefault="008878BE" w:rsidP="00A33A9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jsou častější.</w:t>
      </w:r>
    </w:p>
    <w:p w14:paraId="3C7F42D6" w14:textId="77777777" w:rsidR="008878BE" w:rsidRDefault="008878BE" w:rsidP="00A33A9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vzhledem ke zvolenému zadání postačující, ale nikoli potřebně pestrá a bohatá.</w:t>
      </w:r>
    </w:p>
    <w:p w14:paraId="7933E953" w14:textId="77777777" w:rsidR="008878BE" w:rsidRDefault="008878BE" w:rsidP="00A33A9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spíše jednodušší, objevují se odchylky od pravidelné větné stavby.</w:t>
      </w:r>
    </w:p>
    <w:p w14:paraId="578B1055" w14:textId="77777777" w:rsidR="008878BE" w:rsidRDefault="008878BE" w:rsidP="00A33A9F">
      <w:pPr>
        <w:widowControl/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je v některých místech nahodilá a těžce pochopitelná.</w:t>
      </w:r>
    </w:p>
    <w:p w14:paraId="0CFE7E66" w14:textId="77777777" w:rsidR="008878BE" w:rsidRDefault="008878BE" w:rsidP="00A33A9F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Dostatečný</w:t>
      </w:r>
    </w:p>
    <w:p w14:paraId="1A43C9A7" w14:textId="77777777" w:rsidR="008878BE" w:rsidRDefault="008878BE" w:rsidP="00A33A9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se od zadaného tématu značně odklání, útvar vykazuje podstatné nedostatky.</w:t>
      </w:r>
    </w:p>
    <w:p w14:paraId="359BC0CB" w14:textId="77777777" w:rsidR="008878BE" w:rsidRDefault="008878BE" w:rsidP="00A33A9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vyskytují ve větší míře.</w:t>
      </w:r>
    </w:p>
    <w:p w14:paraId="333FFD45" w14:textId="77777777" w:rsidR="008878BE" w:rsidRDefault="008878BE" w:rsidP="00A33A9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nemotivovaná a omezená.</w:t>
      </w:r>
    </w:p>
    <w:p w14:paraId="38E40B85" w14:textId="77777777" w:rsidR="008878BE" w:rsidRDefault="008878BE" w:rsidP="00A33A9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Výstavba větných celků je jednoduchá s odchylkami od pravidelné větné stavby.</w:t>
      </w:r>
    </w:p>
    <w:p w14:paraId="1F9AC3C9" w14:textId="77777777" w:rsidR="008878BE" w:rsidRDefault="008878BE" w:rsidP="00A33A9F">
      <w:pPr>
        <w:widowControl/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Kompozice textu je nepřehledná a vykazuje ve větší míře nedostatky.</w:t>
      </w:r>
    </w:p>
    <w:p w14:paraId="0F55C107" w14:textId="77777777" w:rsidR="008878BE" w:rsidRDefault="008878BE" w:rsidP="00A33A9F">
      <w:pPr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Nedostatečný</w:t>
      </w:r>
    </w:p>
    <w:p w14:paraId="67DAD633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se nevztahuje k zadanému tématu.</w:t>
      </w:r>
    </w:p>
    <w:p w14:paraId="51584642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prokazatelně nevykazuje charakteristiky zadaného útvaru a reaguje na jiné vymezení komunikační situace.</w:t>
      </w:r>
    </w:p>
    <w:p w14:paraId="428C22C0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Pravopisné a tvaroslovné chyby se vyskytují ve vysoké míře.</w:t>
      </w:r>
    </w:p>
    <w:p w14:paraId="151DF240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Chyby mají zásadní vliv na čtenářský komfort adresáta.</w:t>
      </w:r>
    </w:p>
    <w:p w14:paraId="38E33434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Slovní zásoba je nemotivovaně chudá až primitivní.</w:t>
      </w:r>
    </w:p>
    <w:p w14:paraId="7F567625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 textu se vyskytují ve vysoké míře výrazy, které jsou nevhodně volené vzhledem k označované skutečnosti.</w:t>
      </w:r>
    </w:p>
    <w:p w14:paraId="32FF5FAE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Volba slov a slovních spojení zásadně narušuje porozumění textu.</w:t>
      </w:r>
    </w:p>
    <w:p w14:paraId="0A0661F8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Větné celky jsou jednoduché a mají zásadní nedostatky.</w:t>
      </w:r>
    </w:p>
    <w:p w14:paraId="31E90CB5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>Text je nesoudržný a chaotický, členění textu je nelogické.</w:t>
      </w:r>
    </w:p>
    <w:p w14:paraId="54995CA3" w14:textId="77777777" w:rsidR="008878BE" w:rsidRDefault="008878BE" w:rsidP="00A33A9F">
      <w:pPr>
        <w:widowControl/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cs="Calibri"/>
        </w:rPr>
      </w:pPr>
      <w:r>
        <w:rPr>
          <w:rFonts w:cs="Calibri"/>
        </w:rPr>
        <w:t xml:space="preserve">Text je argumentačně nezvládnutý. </w:t>
      </w:r>
    </w:p>
    <w:p w14:paraId="2BA2946F" w14:textId="77777777" w:rsidR="008878BE" w:rsidRPr="008A03D6" w:rsidRDefault="008878BE" w:rsidP="00A33A9F">
      <w:pPr>
        <w:jc w:val="both"/>
        <w:rPr>
          <w:shd w:val="clear" w:color="auto" w:fill="FFFFFF"/>
        </w:rPr>
      </w:pPr>
    </w:p>
    <w:p w14:paraId="62DBDB8F" w14:textId="77777777" w:rsidR="009E2E02" w:rsidRDefault="009E2E02">
      <w:pPr>
        <w:rPr>
          <w:shd w:val="clear" w:color="auto" w:fill="FFFFFF"/>
        </w:rPr>
      </w:pPr>
    </w:p>
    <w:p w14:paraId="2782D870" w14:textId="77777777" w:rsidR="000C7125" w:rsidRDefault="00220FC7" w:rsidP="000C7125">
      <w:pPr>
        <w:pStyle w:val="Odstavecseseznamem"/>
        <w:numPr>
          <w:ilvl w:val="0"/>
          <w:numId w:val="5"/>
        </w:numPr>
        <w:spacing w:after="120"/>
        <w:ind w:left="284" w:hanging="284"/>
        <w:rPr>
          <w:b/>
          <w:shd w:val="clear" w:color="auto" w:fill="FFFFFF"/>
        </w:rPr>
      </w:pPr>
      <w:r w:rsidRPr="008A03D6">
        <w:rPr>
          <w:b/>
          <w:u w:val="single"/>
          <w:shd w:val="clear" w:color="auto" w:fill="FFFFFF"/>
        </w:rPr>
        <w:t>Ústní zkouš</w:t>
      </w:r>
      <w:r w:rsidR="008A03D6" w:rsidRPr="008A03D6">
        <w:rPr>
          <w:b/>
          <w:u w:val="single"/>
          <w:shd w:val="clear" w:color="auto" w:fill="FFFFFF"/>
        </w:rPr>
        <w:t>ka</w:t>
      </w:r>
      <w:r w:rsidR="008A03D6" w:rsidRPr="008A03D6">
        <w:rPr>
          <w:b/>
          <w:shd w:val="clear" w:color="auto" w:fill="FFFFFF"/>
        </w:rPr>
        <w:t>:</w:t>
      </w:r>
    </w:p>
    <w:p w14:paraId="61B61235" w14:textId="77777777" w:rsidR="000C7125" w:rsidRPr="000C7125" w:rsidRDefault="000C7125" w:rsidP="000C7125">
      <w:pPr>
        <w:pStyle w:val="Odstavecseseznamem"/>
        <w:spacing w:after="120"/>
        <w:ind w:left="284" w:firstLine="283"/>
        <w:rPr>
          <w:b/>
          <w:sz w:val="16"/>
          <w:szCs w:val="16"/>
          <w:shd w:val="clear" w:color="auto" w:fill="FFFFFF"/>
        </w:rPr>
      </w:pPr>
    </w:p>
    <w:p w14:paraId="20E56D12" w14:textId="7D8A565A" w:rsidR="009E2E02" w:rsidRPr="000C7125" w:rsidRDefault="00220FC7" w:rsidP="000C7125">
      <w:pPr>
        <w:pStyle w:val="Odstavecseseznamem"/>
        <w:numPr>
          <w:ilvl w:val="0"/>
          <w:numId w:val="8"/>
        </w:numPr>
        <w:spacing w:after="120"/>
        <w:ind w:left="851" w:hanging="284"/>
        <w:jc w:val="both"/>
        <w:rPr>
          <w:b/>
          <w:shd w:val="clear" w:color="auto" w:fill="FFFFFF"/>
        </w:rPr>
      </w:pPr>
      <w:r w:rsidRPr="000C7125">
        <w:rPr>
          <w:shd w:val="clear" w:color="auto" w:fill="FFFFFF"/>
        </w:rPr>
        <w:t xml:space="preserve">Na stránkách školy je uveden seznam </w:t>
      </w:r>
      <w:r w:rsidR="008A03D6" w:rsidRPr="000C7125">
        <w:rPr>
          <w:shd w:val="clear" w:color="auto" w:fill="FFFFFF"/>
        </w:rPr>
        <w:t xml:space="preserve">doporučené četby k maturitě (110 </w:t>
      </w:r>
      <w:r w:rsidRPr="000C7125">
        <w:rPr>
          <w:shd w:val="clear" w:color="auto" w:fill="FFFFFF"/>
        </w:rPr>
        <w:t>literárních děl</w:t>
      </w:r>
      <w:r w:rsidR="008A03D6" w:rsidRPr="000C7125">
        <w:rPr>
          <w:shd w:val="clear" w:color="auto" w:fill="FFFFFF"/>
        </w:rPr>
        <w:t>)</w:t>
      </w:r>
      <w:r w:rsidR="00EF0A9A">
        <w:rPr>
          <w:shd w:val="clear" w:color="auto" w:fill="FFFFFF"/>
        </w:rPr>
        <w:t>, v souladu s rámcovým a školním vzdělávacím programem</w:t>
      </w:r>
      <w:r w:rsidRPr="000C7125">
        <w:rPr>
          <w:shd w:val="clear" w:color="auto" w:fill="FFFFFF"/>
        </w:rPr>
        <w:t>.</w:t>
      </w:r>
    </w:p>
    <w:p w14:paraId="1C962202" w14:textId="77777777" w:rsidR="00EA19CC" w:rsidRDefault="00EA19CC">
      <w:pPr>
        <w:rPr>
          <w:b/>
          <w:shd w:val="clear" w:color="auto" w:fill="FFFFFF"/>
        </w:rPr>
      </w:pPr>
    </w:p>
    <w:p w14:paraId="46A371BB" w14:textId="77777777" w:rsidR="009E2E02" w:rsidRPr="00EA19CC" w:rsidRDefault="00220FC7" w:rsidP="00EA19CC">
      <w:pPr>
        <w:spacing w:after="120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>Žákovský seznam musí splňovat tato kritéria:</w:t>
      </w:r>
    </w:p>
    <w:p w14:paraId="074EE5F5" w14:textId="3F1FC58A" w:rsidR="009E2E02" w:rsidRDefault="00220FC7" w:rsidP="00EA19CC">
      <w:pPr>
        <w:numPr>
          <w:ilvl w:val="0"/>
          <w:numId w:val="3"/>
        </w:numPr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Minimálně dvěma literárními díly musí být zastoupena próza, poezie i drama</w:t>
      </w:r>
      <w:r w:rsidR="00EF0A9A">
        <w:rPr>
          <w:shd w:val="clear" w:color="auto" w:fill="FFFFFF"/>
        </w:rPr>
        <w:t>.</w:t>
      </w:r>
    </w:p>
    <w:p w14:paraId="78D8A55E" w14:textId="40EA08F0" w:rsidR="009E2E02" w:rsidRDefault="00220FC7" w:rsidP="00EA19CC">
      <w:pPr>
        <w:numPr>
          <w:ilvl w:val="0"/>
          <w:numId w:val="3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Seznam může obsahovat maximálně dvě díla jednoho autora</w:t>
      </w:r>
      <w:r w:rsidR="00EF0A9A">
        <w:rPr>
          <w:shd w:val="clear" w:color="auto" w:fill="FFFFFF"/>
        </w:rPr>
        <w:t>.</w:t>
      </w:r>
    </w:p>
    <w:p w14:paraId="2A4CFE49" w14:textId="77777777" w:rsidR="00EA19CC" w:rsidRPr="00EA19CC" w:rsidRDefault="00220FC7" w:rsidP="00EA19CC">
      <w:pPr>
        <w:numPr>
          <w:ilvl w:val="0"/>
          <w:numId w:val="3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 xml:space="preserve">Žák vytvoří vlastní seznam v počtu 20 literárních děl, minimální počet titulů pro dané literární období je dán: </w:t>
      </w:r>
    </w:p>
    <w:p w14:paraId="66C4092A" w14:textId="77777777" w:rsidR="00EA19CC" w:rsidRPr="00EA19CC" w:rsidRDefault="00EA19CC" w:rsidP="00EA19CC">
      <w:pPr>
        <w:numPr>
          <w:ilvl w:val="3"/>
          <w:numId w:val="3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Světová a česká literatura do konce 18. století – </w:t>
      </w:r>
      <w:r w:rsidRPr="00EA19CC">
        <w:rPr>
          <w:b/>
          <w:shd w:val="clear" w:color="auto" w:fill="FFFFFF"/>
        </w:rPr>
        <w:t>min. 2 lit. díla</w:t>
      </w:r>
    </w:p>
    <w:p w14:paraId="09A07783" w14:textId="77777777" w:rsidR="00EA19CC" w:rsidRPr="00EA19CC" w:rsidRDefault="00EA19CC" w:rsidP="00EA19CC">
      <w:pPr>
        <w:numPr>
          <w:ilvl w:val="3"/>
          <w:numId w:val="3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Světová a česká literatura 19. století</w:t>
      </w:r>
      <w:r w:rsidR="00220FC7" w:rsidRPr="00EA19CC">
        <w:rPr>
          <w:shd w:val="clear" w:color="auto" w:fill="FFFFFF"/>
        </w:rPr>
        <w:t xml:space="preserve"> – </w:t>
      </w:r>
      <w:r w:rsidRPr="00EA19CC">
        <w:rPr>
          <w:b/>
          <w:shd w:val="clear" w:color="auto" w:fill="FFFFFF"/>
        </w:rPr>
        <w:t xml:space="preserve">min. </w:t>
      </w:r>
      <w:r w:rsidR="00220FC7" w:rsidRPr="00EA19CC">
        <w:rPr>
          <w:b/>
          <w:shd w:val="clear" w:color="auto" w:fill="FFFFFF"/>
        </w:rPr>
        <w:t xml:space="preserve">3 </w:t>
      </w:r>
      <w:r w:rsidRPr="00EA19CC">
        <w:rPr>
          <w:b/>
          <w:shd w:val="clear" w:color="auto" w:fill="FFFFFF"/>
        </w:rPr>
        <w:t xml:space="preserve">lit. </w:t>
      </w:r>
      <w:r w:rsidR="00220FC7" w:rsidRPr="00EA19CC">
        <w:rPr>
          <w:b/>
          <w:shd w:val="clear" w:color="auto" w:fill="FFFFFF"/>
        </w:rPr>
        <w:t>díla</w:t>
      </w:r>
    </w:p>
    <w:p w14:paraId="6C159B9A" w14:textId="77777777" w:rsidR="00EA19CC" w:rsidRPr="00EA19CC" w:rsidRDefault="00EA19CC" w:rsidP="00EA19CC">
      <w:pPr>
        <w:numPr>
          <w:ilvl w:val="3"/>
          <w:numId w:val="3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Světová literatura 20. a 21. století</w:t>
      </w:r>
      <w:r w:rsidR="00220FC7" w:rsidRPr="00EA19CC">
        <w:rPr>
          <w:shd w:val="clear" w:color="auto" w:fill="FFFFFF"/>
        </w:rPr>
        <w:t xml:space="preserve"> – </w:t>
      </w:r>
      <w:r w:rsidRPr="00EA19CC">
        <w:rPr>
          <w:b/>
          <w:shd w:val="clear" w:color="auto" w:fill="FFFFFF"/>
        </w:rPr>
        <w:t xml:space="preserve">min. </w:t>
      </w:r>
      <w:r w:rsidR="00220FC7" w:rsidRPr="00EA19CC">
        <w:rPr>
          <w:b/>
          <w:shd w:val="clear" w:color="auto" w:fill="FFFFFF"/>
        </w:rPr>
        <w:t xml:space="preserve">4 </w:t>
      </w:r>
      <w:r w:rsidRPr="00EA19CC">
        <w:rPr>
          <w:b/>
          <w:shd w:val="clear" w:color="auto" w:fill="FFFFFF"/>
        </w:rPr>
        <w:t xml:space="preserve">lit. </w:t>
      </w:r>
      <w:r w:rsidR="00220FC7" w:rsidRPr="00EA19CC">
        <w:rPr>
          <w:b/>
          <w:shd w:val="clear" w:color="auto" w:fill="FFFFFF"/>
        </w:rPr>
        <w:t>díla</w:t>
      </w:r>
    </w:p>
    <w:p w14:paraId="13FF59EF" w14:textId="38ADB7F7" w:rsidR="009E2E02" w:rsidRDefault="00EA19CC" w:rsidP="00EA19CC">
      <w:pPr>
        <w:numPr>
          <w:ilvl w:val="3"/>
          <w:numId w:val="3"/>
        </w:numPr>
        <w:shd w:val="clear" w:color="auto" w:fill="FFFFFF"/>
        <w:tabs>
          <w:tab w:val="clear" w:pos="3240"/>
          <w:tab w:val="num" w:pos="1418"/>
        </w:tabs>
        <w:ind w:left="1418" w:hanging="284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Česká literatura 20. a 21. století </w:t>
      </w:r>
      <w:r w:rsidR="00220FC7" w:rsidRPr="00EA19CC">
        <w:rPr>
          <w:shd w:val="clear" w:color="auto" w:fill="FFFFFF"/>
        </w:rPr>
        <w:t xml:space="preserve">– </w:t>
      </w:r>
      <w:r w:rsidRPr="00EA19CC">
        <w:rPr>
          <w:b/>
          <w:shd w:val="clear" w:color="auto" w:fill="FFFFFF"/>
        </w:rPr>
        <w:t xml:space="preserve">min. </w:t>
      </w:r>
      <w:r w:rsidR="00220FC7" w:rsidRPr="00EA19CC">
        <w:rPr>
          <w:b/>
          <w:shd w:val="clear" w:color="auto" w:fill="FFFFFF"/>
        </w:rPr>
        <w:t xml:space="preserve">5 </w:t>
      </w:r>
      <w:r w:rsidRPr="00EA19CC">
        <w:rPr>
          <w:b/>
          <w:shd w:val="clear" w:color="auto" w:fill="FFFFFF"/>
        </w:rPr>
        <w:t xml:space="preserve">lit. </w:t>
      </w:r>
      <w:r w:rsidR="00EF0A9A" w:rsidRPr="00EA19CC">
        <w:rPr>
          <w:b/>
          <w:shd w:val="clear" w:color="auto" w:fill="FFFFFF"/>
        </w:rPr>
        <w:t>D</w:t>
      </w:r>
      <w:r w:rsidR="00220FC7" w:rsidRPr="00EA19CC">
        <w:rPr>
          <w:b/>
          <w:shd w:val="clear" w:color="auto" w:fill="FFFFFF"/>
        </w:rPr>
        <w:t>ěl</w:t>
      </w:r>
    </w:p>
    <w:p w14:paraId="1098A282" w14:textId="77777777" w:rsidR="00EF0A9A" w:rsidRPr="00EF0A9A" w:rsidRDefault="00EF0A9A" w:rsidP="00EF0A9A">
      <w:pPr>
        <w:shd w:val="clear" w:color="auto" w:fill="FFFFFF"/>
        <w:jc w:val="both"/>
        <w:rPr>
          <w:b/>
          <w:shd w:val="clear" w:color="auto" w:fill="FFFFFF"/>
        </w:rPr>
      </w:pPr>
    </w:p>
    <w:p w14:paraId="4629EA62" w14:textId="77777777" w:rsidR="00EA19CC" w:rsidRDefault="00220FC7" w:rsidP="00EA19CC">
      <w:pPr>
        <w:numPr>
          <w:ilvl w:val="0"/>
          <w:numId w:val="3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Seznam žák odevzdá ředitelce školy nebo jí pověřené osob</w:t>
      </w:r>
      <w:r w:rsidR="00EA19CC">
        <w:rPr>
          <w:shd w:val="clear" w:color="auto" w:fill="FFFFFF"/>
        </w:rPr>
        <w:t xml:space="preserve">ě </w:t>
      </w:r>
      <w:r w:rsidR="00EA19CC" w:rsidRPr="00EA19CC">
        <w:rPr>
          <w:b/>
          <w:shd w:val="clear" w:color="auto" w:fill="FFFFFF"/>
        </w:rPr>
        <w:t>do 31. března</w:t>
      </w:r>
      <w:r w:rsidR="00EA19CC">
        <w:rPr>
          <w:shd w:val="clear" w:color="auto" w:fill="FFFFFF"/>
        </w:rPr>
        <w:t xml:space="preserve"> roku, v němž se </w:t>
      </w:r>
      <w:r w:rsidRPr="00EA19CC">
        <w:rPr>
          <w:shd w:val="clear" w:color="auto" w:fill="FFFFFF"/>
        </w:rPr>
        <w:lastRenderedPageBreak/>
        <w:t>maturitní zkouška koná (pro jarní zkušební období) nebo</w:t>
      </w:r>
      <w:r w:rsidR="00EA19CC" w:rsidRPr="00EA19CC">
        <w:rPr>
          <w:shd w:val="clear" w:color="auto" w:fill="FFFFFF"/>
        </w:rPr>
        <w:t xml:space="preserve"> </w:t>
      </w:r>
      <w:r w:rsidRPr="00EA19CC">
        <w:rPr>
          <w:b/>
          <w:shd w:val="clear" w:color="auto" w:fill="FFFFFF"/>
        </w:rPr>
        <w:t>do 30. června</w:t>
      </w:r>
      <w:r w:rsidRPr="00EA19CC">
        <w:rPr>
          <w:shd w:val="clear" w:color="auto" w:fill="FFFFFF"/>
        </w:rPr>
        <w:t xml:space="preserve"> roku, v němž se maturitní zkouška koná (pro podzimní zkušební období). </w:t>
      </w:r>
    </w:p>
    <w:p w14:paraId="51119328" w14:textId="07D4C191" w:rsidR="009E2E02" w:rsidRDefault="00220FC7" w:rsidP="00EA19CC">
      <w:pPr>
        <w:numPr>
          <w:ilvl w:val="0"/>
          <w:numId w:val="3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Neodevzdá-li žák vlastní seznam četby do daného termínu, losuje si u zkoušky pracovní list ze všech titulů školního  maturitního seznamu.</w:t>
      </w:r>
      <w:r w:rsidR="00EF0A9A">
        <w:rPr>
          <w:shd w:val="clear" w:color="auto" w:fill="FFFFFF"/>
        </w:rPr>
        <w:t xml:space="preserve"> </w:t>
      </w:r>
    </w:p>
    <w:p w14:paraId="08129366" w14:textId="77777777" w:rsidR="00EF0A9A" w:rsidRDefault="00EF0A9A" w:rsidP="00EF0A9A">
      <w:pPr>
        <w:shd w:val="clear" w:color="auto" w:fill="FFFFFF"/>
        <w:ind w:left="851"/>
        <w:jc w:val="both"/>
        <w:rPr>
          <w:shd w:val="clear" w:color="auto" w:fill="FFFFFF"/>
        </w:rPr>
      </w:pPr>
    </w:p>
    <w:p w14:paraId="4A57C5DD" w14:textId="67D5957D" w:rsidR="00EF0A9A" w:rsidRPr="00EA19CC" w:rsidRDefault="00EF0A9A" w:rsidP="00EF0A9A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>Maturitní seznam literárních děl a kritéria platí i pro opravnou a náhradní maturitní zkoušku.</w:t>
      </w:r>
    </w:p>
    <w:p w14:paraId="2A475267" w14:textId="77777777" w:rsidR="009E2E02" w:rsidRDefault="00220FC7" w:rsidP="00EA19CC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14:paraId="0D311057" w14:textId="77777777" w:rsidR="00EA19CC" w:rsidRPr="00EA19CC" w:rsidRDefault="00EA19CC" w:rsidP="00EA19CC">
      <w:pPr>
        <w:shd w:val="clear" w:color="auto" w:fill="FFFFFF"/>
        <w:spacing w:after="120"/>
        <w:jc w:val="both"/>
        <w:rPr>
          <w:b/>
          <w:shd w:val="clear" w:color="auto" w:fill="FFFFFF"/>
        </w:rPr>
      </w:pPr>
      <w:r w:rsidRPr="00EA19CC">
        <w:rPr>
          <w:b/>
          <w:shd w:val="clear" w:color="auto" w:fill="FFFFFF"/>
        </w:rPr>
        <w:t>Obsah</w:t>
      </w:r>
      <w:r w:rsidR="00220FC7" w:rsidRPr="00EA19CC">
        <w:rPr>
          <w:b/>
          <w:shd w:val="clear" w:color="auto" w:fill="FFFFFF"/>
        </w:rPr>
        <w:t xml:space="preserve"> ústní zkoušky</w:t>
      </w:r>
      <w:r w:rsidRPr="00EA19CC">
        <w:rPr>
          <w:b/>
          <w:shd w:val="clear" w:color="auto" w:fill="FFFFFF"/>
        </w:rPr>
        <w:t>:</w:t>
      </w:r>
    </w:p>
    <w:p w14:paraId="2E4C81B2" w14:textId="50105284" w:rsidR="00EA19CC" w:rsidRDefault="00EA19CC" w:rsidP="00EA19CC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A</w:t>
      </w:r>
      <w:r w:rsidR="00220FC7" w:rsidRPr="00EA19CC">
        <w:rPr>
          <w:shd w:val="clear" w:color="auto" w:fill="FFFFFF"/>
        </w:rPr>
        <w:t>nalýza a interpretace  umělecké</w:t>
      </w:r>
      <w:r w:rsidR="000C7125">
        <w:rPr>
          <w:shd w:val="clear" w:color="auto" w:fill="FFFFFF"/>
        </w:rPr>
        <w:t xml:space="preserve">ho a neuměleckého textu, a to s </w:t>
      </w:r>
      <w:r w:rsidR="00220FC7" w:rsidRPr="00EA19CC">
        <w:rPr>
          <w:shd w:val="clear" w:color="auto" w:fill="FFFFFF"/>
        </w:rPr>
        <w:t xml:space="preserve">využitím vědomostí </w:t>
      </w:r>
      <w:r w:rsidR="000C7125">
        <w:rPr>
          <w:shd w:val="clear" w:color="auto" w:fill="FFFFFF"/>
        </w:rPr>
        <w:br/>
      </w:r>
      <w:r w:rsidR="00220FC7" w:rsidRPr="00EA19CC">
        <w:rPr>
          <w:shd w:val="clear" w:color="auto" w:fill="FFFFFF"/>
        </w:rPr>
        <w:t>a dovedností získaných v průběhu studia</w:t>
      </w:r>
      <w:r w:rsidR="002F26F0">
        <w:rPr>
          <w:shd w:val="clear" w:color="auto" w:fill="FFFFFF"/>
        </w:rPr>
        <w:t xml:space="preserve"> se zaměřením na období, které se vztahuje k vylosovanému pracovnímu listu</w:t>
      </w:r>
      <w:r w:rsidR="00220FC7" w:rsidRPr="00EA19CC">
        <w:rPr>
          <w:shd w:val="clear" w:color="auto" w:fill="FFFFFF"/>
        </w:rPr>
        <w:t>.</w:t>
      </w:r>
      <w:r w:rsidR="002F26F0">
        <w:rPr>
          <w:shd w:val="clear" w:color="auto" w:fill="FFFFFF"/>
        </w:rPr>
        <w:t xml:space="preserve"> </w:t>
      </w:r>
    </w:p>
    <w:p w14:paraId="63BF2E01" w14:textId="77777777" w:rsidR="002F26F0" w:rsidRPr="002F26F0" w:rsidRDefault="002F26F0" w:rsidP="002F26F0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2F26F0">
        <w:rPr>
          <w:shd w:val="clear" w:color="auto" w:fill="FFFFFF"/>
        </w:rPr>
        <w:t xml:space="preserve">Součástí </w:t>
      </w:r>
      <w:r>
        <w:rPr>
          <w:shd w:val="clear" w:color="auto" w:fill="FFFFFF"/>
        </w:rPr>
        <w:t>pracovního listu je i zadání ověřující znalosti a dovednosti žáka vztahující se k učivu o jazyce a slohu.</w:t>
      </w:r>
    </w:p>
    <w:p w14:paraId="17CB2263" w14:textId="5FD2923E" w:rsidR="002F26F0" w:rsidRDefault="002F26F0" w:rsidP="002F26F0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 xml:space="preserve">Součástí ústní zkoušky jsou také komunikační </w:t>
      </w:r>
      <w:r>
        <w:rPr>
          <w:shd w:val="clear" w:color="auto" w:fill="FFFFFF"/>
        </w:rPr>
        <w:t xml:space="preserve">dovednosti a celková kultura </w:t>
      </w:r>
      <w:r w:rsidRPr="00EA19CC">
        <w:rPr>
          <w:shd w:val="clear" w:color="auto" w:fill="FFFFFF"/>
        </w:rPr>
        <w:t>jazykového projevu studenta</w:t>
      </w:r>
      <w:r>
        <w:rPr>
          <w:shd w:val="clear" w:color="auto" w:fill="FFFFFF"/>
        </w:rPr>
        <w:t>.</w:t>
      </w:r>
    </w:p>
    <w:p w14:paraId="284E52FE" w14:textId="77777777" w:rsidR="002F26F0" w:rsidRDefault="002F26F0" w:rsidP="002F26F0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481843F5" w14:textId="77777777" w:rsidR="00EA19CC" w:rsidRPr="000C7125" w:rsidRDefault="00220FC7" w:rsidP="00EA19CC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b/>
          <w:shd w:val="clear" w:color="auto" w:fill="FFFFFF"/>
        </w:rPr>
      </w:pPr>
      <w:r w:rsidRPr="000C7125">
        <w:rPr>
          <w:b/>
          <w:shd w:val="clear" w:color="auto" w:fill="FFFFFF"/>
        </w:rPr>
        <w:t>Příprava k ústní zkoušce trvá 20 minut, vlastní zkouška trvá nejdéle 15 minut.</w:t>
      </w:r>
    </w:p>
    <w:p w14:paraId="65F3F3FB" w14:textId="77777777" w:rsidR="00EA19CC" w:rsidRDefault="00220FC7" w:rsidP="00EA19CC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EA19CC">
        <w:rPr>
          <w:shd w:val="clear" w:color="auto" w:fill="FFFFFF"/>
        </w:rPr>
        <w:t>V jednom dni nelze losovat dvakrát pracovní list ke stejnému literárnímu dílu.</w:t>
      </w:r>
    </w:p>
    <w:p w14:paraId="6F370FC1" w14:textId="7623D7A0" w:rsidR="009E2E02" w:rsidRDefault="00220FC7" w:rsidP="000C7125">
      <w:pPr>
        <w:pStyle w:val="Odstavecseseznamem"/>
        <w:numPr>
          <w:ilvl w:val="0"/>
          <w:numId w:val="7"/>
        </w:numPr>
        <w:shd w:val="clear" w:color="auto" w:fill="FFFFFF"/>
        <w:tabs>
          <w:tab w:val="clear" w:pos="2160"/>
          <w:tab w:val="num" w:pos="851"/>
        </w:tabs>
        <w:ind w:left="851" w:hanging="284"/>
        <w:jc w:val="both"/>
        <w:rPr>
          <w:shd w:val="clear" w:color="auto" w:fill="FFFFFF"/>
        </w:rPr>
      </w:pPr>
      <w:r w:rsidRPr="000C7125">
        <w:rPr>
          <w:shd w:val="clear" w:color="auto" w:fill="FFFFFF"/>
        </w:rPr>
        <w:t>V průběhu ústní zkoušky není dovoleno používat žádné</w:t>
      </w:r>
      <w:r w:rsidR="000C7125" w:rsidRPr="000C7125">
        <w:rPr>
          <w:shd w:val="clear" w:color="auto" w:fill="FFFFFF"/>
        </w:rPr>
        <w:t xml:space="preserve"> pomůcky vyjma pracovního listu </w:t>
      </w:r>
      <w:r w:rsidR="000C7125">
        <w:rPr>
          <w:shd w:val="clear" w:color="auto" w:fill="FFFFFF"/>
        </w:rPr>
        <w:br/>
      </w:r>
      <w:r w:rsidRPr="000C7125">
        <w:rPr>
          <w:shd w:val="clear" w:color="auto" w:fill="FFFFFF"/>
        </w:rPr>
        <w:t>a psacích potřeb.</w:t>
      </w:r>
    </w:p>
    <w:p w14:paraId="581400F2" w14:textId="35113C0D" w:rsidR="002F26F0" w:rsidRDefault="002F26F0" w:rsidP="002F26F0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7139829B" w14:textId="465463E0" w:rsidR="00A33A9F" w:rsidRDefault="00A33A9F" w:rsidP="002F26F0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2E88740C" w14:textId="77777777" w:rsidR="00A33A9F" w:rsidRDefault="00A33A9F" w:rsidP="002F26F0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3C4B6FEA" w14:textId="77777777" w:rsidR="00A33A9F" w:rsidRPr="00A367E0" w:rsidRDefault="00A33A9F" w:rsidP="00A33A9F">
      <w:r w:rsidRPr="00C30777">
        <w:rPr>
          <w:b/>
          <w:bCs/>
        </w:rPr>
        <w:t>Výsledná známka</w:t>
      </w:r>
      <w:r w:rsidRPr="00A367E0">
        <w:t xml:space="preserve"> z písemné a ústní části bude stanovena v poměru 40% z písemné </w:t>
      </w:r>
      <w:r>
        <w:t xml:space="preserve">části </w:t>
      </w:r>
      <w:r w:rsidRPr="00A367E0">
        <w:t>a 60% z ústní části. (Příklad: písemná část =2, ústní část=1 – celkově 1; písemná část=1, ústní část = 2 – celkově 2).</w:t>
      </w:r>
    </w:p>
    <w:p w14:paraId="3436AD70" w14:textId="30A878FB" w:rsidR="002F26F0" w:rsidRPr="00A33A9F" w:rsidRDefault="002F26F0" w:rsidP="00A33A9F">
      <w:pPr>
        <w:shd w:val="clear" w:color="auto" w:fill="FFFFFF"/>
        <w:jc w:val="both"/>
        <w:rPr>
          <w:shd w:val="clear" w:color="auto" w:fill="FFFFFF"/>
        </w:rPr>
      </w:pPr>
    </w:p>
    <w:p w14:paraId="4A36001D" w14:textId="77777777" w:rsidR="002F26F0" w:rsidRDefault="002F26F0" w:rsidP="002F26F0">
      <w:pPr>
        <w:pStyle w:val="Odstavecseseznamem"/>
        <w:shd w:val="clear" w:color="auto" w:fill="FFFFFF"/>
        <w:ind w:left="851"/>
        <w:jc w:val="both"/>
        <w:rPr>
          <w:shd w:val="clear" w:color="auto" w:fill="FFFFFF"/>
        </w:rPr>
      </w:pPr>
    </w:p>
    <w:p w14:paraId="5784C7F8" w14:textId="5D4F0F48" w:rsidR="00220FC7" w:rsidRDefault="002F26F0" w:rsidP="00230859">
      <w:pPr>
        <w:shd w:val="clear" w:color="auto" w:fill="FFFFFF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>V</w:t>
      </w:r>
      <w:r w:rsidR="00230859" w:rsidRPr="00230859">
        <w:rPr>
          <w:b/>
          <w:shd w:val="clear" w:color="auto" w:fill="FFFFFF"/>
        </w:rPr>
        <w:t>ypracovali:</w:t>
      </w:r>
      <w:r w:rsidR="00230859">
        <w:rPr>
          <w:shd w:val="clear" w:color="auto" w:fill="FFFFFF"/>
        </w:rPr>
        <w:t xml:space="preserve"> Mgr. Alena Šťastná a Mgr. Miroslav Beneš</w:t>
      </w:r>
      <w:r w:rsidR="006E402B">
        <w:rPr>
          <w:shd w:val="clear" w:color="auto" w:fill="FFFFFF"/>
        </w:rPr>
        <w:t xml:space="preserve"> </w:t>
      </w:r>
    </w:p>
    <w:p w14:paraId="3D0A2947" w14:textId="77777777" w:rsidR="006E402B" w:rsidRDefault="006E402B" w:rsidP="00230859">
      <w:pPr>
        <w:shd w:val="clear" w:color="auto" w:fill="FFFFFF"/>
        <w:jc w:val="both"/>
        <w:rPr>
          <w:shd w:val="clear" w:color="auto" w:fill="FFFFFF"/>
        </w:rPr>
      </w:pPr>
    </w:p>
    <w:p w14:paraId="731866E7" w14:textId="0A30963F" w:rsidR="006E402B" w:rsidRDefault="006E402B" w:rsidP="00230859">
      <w:pPr>
        <w:shd w:val="clear" w:color="auto" w:fill="FFFFFF"/>
        <w:jc w:val="both"/>
        <w:rPr>
          <w:shd w:val="clear" w:color="auto" w:fill="FFFFFF"/>
        </w:rPr>
      </w:pPr>
    </w:p>
    <w:p w14:paraId="2CB5AD52" w14:textId="12D8FE71" w:rsidR="006E402B" w:rsidRDefault="006E402B" w:rsidP="006E402B">
      <w:pPr>
        <w:jc w:val="both"/>
        <w:rPr>
          <w:rFonts w:eastAsia="Times New Roman" w:cs="Times New Roman"/>
          <w:kern w:val="0"/>
          <w:lang w:eastAsia="cs-CZ" w:bidi="ar-SA"/>
        </w:rPr>
      </w:pPr>
      <w:r>
        <w:t xml:space="preserve">Třebechovice po Orebem, 29.10.2021 </w:t>
      </w:r>
      <w:r>
        <w:tab/>
      </w:r>
      <w:r>
        <w:tab/>
      </w:r>
      <w:r>
        <w:tab/>
        <w:t xml:space="preserve">  </w:t>
      </w:r>
      <w:r>
        <w:tab/>
        <w:t xml:space="preserve"> Mgr. Stanislava Šůlová, v.r.</w:t>
      </w:r>
    </w:p>
    <w:p w14:paraId="50C6DB36" w14:textId="29A5EBAD" w:rsidR="006E402B" w:rsidRDefault="006E402B" w:rsidP="006E402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77D477D6" w14:textId="77777777" w:rsidR="006E402B" w:rsidRDefault="006E402B" w:rsidP="006E402B">
      <w:pPr>
        <w:jc w:val="both"/>
      </w:pPr>
    </w:p>
    <w:p w14:paraId="050098C7" w14:textId="77777777" w:rsidR="006E402B" w:rsidRPr="00230859" w:rsidRDefault="006E402B" w:rsidP="00230859">
      <w:pPr>
        <w:shd w:val="clear" w:color="auto" w:fill="FFFFFF"/>
        <w:jc w:val="both"/>
        <w:rPr>
          <w:shd w:val="clear" w:color="auto" w:fill="FFFFFF"/>
        </w:rPr>
      </w:pPr>
    </w:p>
    <w:sectPr w:rsidR="006E402B" w:rsidRPr="00230859" w:rsidSect="00230859">
      <w:pgSz w:w="11906" w:h="16838"/>
      <w:pgMar w:top="993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6D4456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AB5171"/>
    <w:multiLevelType w:val="multilevel"/>
    <w:tmpl w:val="2AB2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9204F"/>
    <w:multiLevelType w:val="multilevel"/>
    <w:tmpl w:val="4650D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C57E7"/>
    <w:multiLevelType w:val="hybridMultilevel"/>
    <w:tmpl w:val="9F24ADB0"/>
    <w:lvl w:ilvl="0" w:tplc="9F8C5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60F3"/>
    <w:multiLevelType w:val="multilevel"/>
    <w:tmpl w:val="1CA8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D0A83"/>
    <w:multiLevelType w:val="hybridMultilevel"/>
    <w:tmpl w:val="DB5CE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B5053"/>
    <w:multiLevelType w:val="hybridMultilevel"/>
    <w:tmpl w:val="82E04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792C"/>
    <w:multiLevelType w:val="multilevel"/>
    <w:tmpl w:val="7B448128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="Calibri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C2D3A"/>
    <w:multiLevelType w:val="multilevel"/>
    <w:tmpl w:val="6D44560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12" w15:restartNumberingAfterBreak="0">
    <w:nsid w:val="785B7DFA"/>
    <w:multiLevelType w:val="multilevel"/>
    <w:tmpl w:val="DC949814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A3"/>
    <w:rsid w:val="000C7125"/>
    <w:rsid w:val="00220FC7"/>
    <w:rsid w:val="00230859"/>
    <w:rsid w:val="002F26F0"/>
    <w:rsid w:val="00490162"/>
    <w:rsid w:val="005E620E"/>
    <w:rsid w:val="006E402B"/>
    <w:rsid w:val="007A5CB4"/>
    <w:rsid w:val="008878BE"/>
    <w:rsid w:val="008A03D6"/>
    <w:rsid w:val="009E2E02"/>
    <w:rsid w:val="00A33A9F"/>
    <w:rsid w:val="00A93981"/>
    <w:rsid w:val="00AA28C5"/>
    <w:rsid w:val="00C452A3"/>
    <w:rsid w:val="00D86BA8"/>
    <w:rsid w:val="00EA19CC"/>
    <w:rsid w:val="00EC256D"/>
    <w:rsid w:val="00E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FEA9925"/>
  <w15:docId w15:val="{DB827BAA-3584-4BC2-B936-554BFF1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uiPriority w:val="34"/>
    <w:qFormat/>
    <w:rsid w:val="008A03D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Iveta Jedlinska</cp:lastModifiedBy>
  <cp:revision>2</cp:revision>
  <cp:lastPrinted>2021-10-28T19:52:00Z</cp:lastPrinted>
  <dcterms:created xsi:type="dcterms:W3CDTF">2021-11-01T06:23:00Z</dcterms:created>
  <dcterms:modified xsi:type="dcterms:W3CDTF">2021-11-01T06:23:00Z</dcterms:modified>
</cp:coreProperties>
</file>